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 w:before="119" w:after="119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LOnormal"/>
        <w:spacing w:lineRule="auto" w:line="360" w:before="119" w:after="119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LOnormal"/>
        <w:spacing w:lineRule="auto" w:line="360" w:before="119" w:after="119"/>
        <w:jc w:val="center"/>
        <w:rPr>
          <w:rFonts w:ascii="Arial" w:hAnsi="Arial"/>
          <w:sz w:val="24"/>
          <w:szCs w:val="24"/>
        </w:rPr>
      </w:pPr>
      <w:bookmarkStart w:id="0" w:name="_heading=h.kvx8j65uhel9"/>
      <w:bookmarkEnd w:id="0"/>
      <w:r>
        <w:rPr>
          <w:b/>
          <w:color w:val="auto"/>
          <w:sz w:val="28"/>
          <w:szCs w:val="28"/>
        </w:rPr>
        <w:t>TERMO DE AJUSTAMENTO DE CONDUTA</w:t>
      </w:r>
    </w:p>
    <w:p>
      <w:pPr>
        <w:pStyle w:val="LOnormal"/>
        <w:spacing w:lineRule="auto" w:line="360" w:before="119" w:after="1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360" w:before="119" w:after="1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1" w:name="_heading=h.8nr6nzvjtg0e"/>
      <w:bookmarkStart w:id="2" w:name="_heading=h.8nr6nzvjtg0e"/>
      <w:bookmarkEnd w:id="2"/>
    </w:p>
    <w:p>
      <w:pPr>
        <w:pStyle w:val="LOnormal"/>
        <w:spacing w:lineRule="auto" w:line="360" w:before="119" w:after="119"/>
        <w:jc w:val="both"/>
        <w:rPr/>
      </w:pPr>
      <w:r>
        <w:rPr>
          <w:b/>
          <w:color w:val="auto"/>
          <w:sz w:val="24"/>
          <w:szCs w:val="24"/>
        </w:rPr>
        <w:t>O ESTADO DO RIO GRANDE DO NORTE</w:t>
      </w:r>
      <w:r>
        <w:rPr>
          <w:b w:val="false"/>
          <w:bCs w:val="false"/>
          <w:color w:val="auto"/>
          <w:sz w:val="24"/>
          <w:szCs w:val="24"/>
        </w:rPr>
        <w:t xml:space="preserve">, pessoa jurídica de direito público interno, representado neste ato pela Governadora do Estado, a Sra. Maria de Fátima Bezerra, e pelo Secretário Estadual de Saúde Pública (SESAP), Cipriano Maia de Vasconcelos, </w:t>
      </w:r>
      <w:r>
        <w:rPr>
          <w:b w:val="false"/>
          <w:bCs w:val="false"/>
          <w:color w:val="auto"/>
          <w:sz w:val="24"/>
          <w:szCs w:val="24"/>
        </w:rPr>
        <w:t>a</w:t>
      </w:r>
      <w:r>
        <w:rPr>
          <w:b w:val="false"/>
          <w:bCs w:val="false"/>
          <w:color w:val="auto"/>
          <w:sz w:val="24"/>
          <w:szCs w:val="24"/>
        </w:rPr>
        <w:t>companhados neste ato pelo Procurador-Geral do Estado do Rio Grande do Norte</w:t>
      </w:r>
      <w:r>
        <w:rPr>
          <w:b w:val="false"/>
          <w:bCs w:val="false"/>
          <w:color w:val="000000"/>
          <w:sz w:val="24"/>
          <w:szCs w:val="24"/>
        </w:rPr>
        <w:t>, Dr. Luiz An</w:t>
      </w:r>
      <w:r>
        <w:rPr>
          <w:b w:val="false"/>
          <w:bCs w:val="false"/>
          <w:color w:val="auto"/>
          <w:sz w:val="24"/>
          <w:szCs w:val="24"/>
        </w:rPr>
        <w:t xml:space="preserve">tônio Marinho, doravante denominado </w:t>
      </w:r>
      <w:r>
        <w:rPr>
          <w:b/>
          <w:bCs/>
          <w:color w:val="auto"/>
          <w:sz w:val="24"/>
          <w:szCs w:val="24"/>
        </w:rPr>
        <w:t>ESTADO</w:t>
      </w:r>
      <w:r>
        <w:rPr>
          <w:b w:val="false"/>
          <w:bCs w:val="false"/>
          <w:color w:val="auto"/>
          <w:sz w:val="24"/>
          <w:szCs w:val="24"/>
        </w:rPr>
        <w:t xml:space="preserve">, e, de outro lado, o </w:t>
      </w:r>
      <w:r>
        <w:rPr>
          <w:b/>
          <w:bCs/>
          <w:color w:val="auto"/>
          <w:sz w:val="24"/>
          <w:szCs w:val="24"/>
        </w:rPr>
        <w:t>MINISTÉRIO PÚBLICO DO ESTADO DO RIO GRANDE DO NORTE</w:t>
      </w:r>
      <w:r>
        <w:rPr>
          <w:b w:val="false"/>
          <w:bCs w:val="false"/>
          <w:color w:val="auto"/>
          <w:sz w:val="24"/>
          <w:szCs w:val="24"/>
        </w:rPr>
        <w:t xml:space="preserve">, neste ato representado pelo Procurador-Geral de Justiça do Estado do Rio Grande do Norte, Eudo Rodrigues Leite, pela </w:t>
      </w:r>
      <w:r>
        <w:rPr>
          <w:rFonts w:eastAsia="Arial" w:cs="Arial"/>
          <w:b w:val="false"/>
          <w:bCs w:val="false"/>
          <w:color w:val="auto"/>
          <w:sz w:val="24"/>
          <w:szCs w:val="24"/>
        </w:rPr>
        <w:t xml:space="preserve">Promotora de Justiça de Defesa da Saúde                                                    da Comarca de Natal, </w:t>
      </w:r>
      <w:r>
        <w:rPr>
          <w:b w:val="false"/>
          <w:bCs w:val="false"/>
          <w:color w:val="auto"/>
          <w:sz w:val="24"/>
          <w:szCs w:val="24"/>
        </w:rPr>
        <w:t>I</w:t>
      </w:r>
      <w:r>
        <w:rPr>
          <w:rFonts w:eastAsia="Arial" w:cs="Arial"/>
          <w:b w:val="false"/>
          <w:bCs w:val="false"/>
          <w:color w:val="auto"/>
          <w:sz w:val="24"/>
          <w:szCs w:val="24"/>
        </w:rPr>
        <w:t>ara Maria Pinheiro de Albuquerque, e pelo Promotor de Justiça de Defesa do Patrimônio Público da Comarca de Natal,</w:t>
      </w:r>
      <w:r>
        <w:rPr>
          <w:rFonts w:eastAsia="Arial" w:cs="Arial"/>
          <w:b/>
          <w:bCs/>
          <w:color w:val="auto"/>
          <w:sz w:val="24"/>
          <w:szCs w:val="24"/>
        </w:rPr>
        <w:t xml:space="preserve"> </w:t>
      </w:r>
      <w:r>
        <w:rPr>
          <w:rFonts w:eastAsia="Arial" w:cs="Arial"/>
          <w:b w:val="false"/>
          <w:bCs w:val="false"/>
          <w:color w:val="auto"/>
          <w:sz w:val="24"/>
          <w:szCs w:val="24"/>
        </w:rPr>
        <w:t xml:space="preserve">Thibério César do Nascimento Fernandes, e </w:t>
      </w:r>
      <w:r>
        <w:rPr>
          <w:b w:val="false"/>
          <w:bCs w:val="false"/>
          <w:color w:val="auto"/>
          <w:sz w:val="24"/>
          <w:szCs w:val="24"/>
        </w:rPr>
        <w:t xml:space="preserve">o </w:t>
      </w:r>
      <w:r>
        <w:rPr>
          <w:b/>
          <w:bCs w:val="false"/>
          <w:color w:val="auto"/>
          <w:sz w:val="24"/>
          <w:szCs w:val="24"/>
        </w:rPr>
        <w:t>MINISTÉRIO PÚBLICO FEDERAL</w:t>
      </w:r>
      <w:r>
        <w:rPr>
          <w:b w:val="false"/>
          <w:bCs w:val="false"/>
          <w:color w:val="auto"/>
          <w:sz w:val="24"/>
          <w:szCs w:val="24"/>
        </w:rPr>
        <w:t xml:space="preserve">, neste ato representado pela Procuradora Regional dos Direitos do Cidadão da Procuradoria da República no Estado do Rio Grande do Norte, Caroline Maciel da Costa Lima da Mata, designada para o Gabinete Integrado de Acompanhamento à Epidemia do Coronavírus-19, pela portaria PGR GIAC-COVID nº 1, de </w:t>
      </w:r>
      <w:r>
        <w:rPr>
          <w:rFonts w:eastAsia="Arial" w:cs="Arial"/>
          <w:b w:val="false"/>
          <w:bCs w:val="false"/>
          <w:color w:val="auto"/>
          <w:kern w:val="0"/>
          <w:sz w:val="24"/>
          <w:szCs w:val="24"/>
          <w:lang w:val="pt-BR" w:eastAsia="zh-CN" w:bidi="hi-IN"/>
        </w:rPr>
        <w:t>20 de março de 2020</w:t>
      </w:r>
      <w:r>
        <w:rPr>
          <w:b w:val="false"/>
          <w:bCs w:val="false"/>
          <w:color w:val="auto"/>
          <w:sz w:val="24"/>
          <w:szCs w:val="24"/>
        </w:rPr>
        <w:t xml:space="preserve">, e pelo </w:t>
      </w:r>
      <w:r>
        <w:rPr>
          <w:rFonts w:eastAsia="Arial" w:cs="Arial"/>
          <w:b w:val="false"/>
          <w:bCs w:val="false"/>
          <w:color w:val="auto"/>
          <w:sz w:val="24"/>
          <w:szCs w:val="24"/>
        </w:rPr>
        <w:t>Procurador da República titular do 7º Ofício do Núcleo de Combate à Corrupção,</w:t>
      </w:r>
      <w:r>
        <w:rPr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eastAsia="Arial" w:cs="Arial"/>
          <w:b w:val="false"/>
          <w:bCs w:val="false"/>
          <w:color w:val="auto"/>
          <w:sz w:val="24"/>
          <w:szCs w:val="24"/>
        </w:rPr>
        <w:t>Fernando Rocha de Andrade</w:t>
      </w:r>
      <w:r>
        <w:rPr>
          <w:b w:val="false"/>
          <w:bCs w:val="false"/>
          <w:color w:val="auto"/>
          <w:sz w:val="24"/>
          <w:szCs w:val="24"/>
        </w:rPr>
        <w:t xml:space="preserve">, doravante denominados </w:t>
      </w:r>
      <w:r>
        <w:rPr>
          <w:b/>
          <w:bCs/>
          <w:color w:val="auto"/>
          <w:sz w:val="24"/>
          <w:szCs w:val="24"/>
        </w:rPr>
        <w:t>MINISTÉRIO PÚBLICO</w:t>
      </w:r>
      <w:r>
        <w:rPr>
          <w:b w:val="false"/>
          <w:bCs w:val="false"/>
          <w:color w:val="auto"/>
          <w:sz w:val="24"/>
          <w:szCs w:val="24"/>
        </w:rPr>
        <w:t xml:space="preserve">, com fundamento no art. 5º, § 6º, da Lei 7.347, de </w:t>
      </w:r>
      <w:bookmarkStart w:id="3" w:name="_heading=h.mk66z6qukdaj"/>
      <w:bookmarkEnd w:id="3"/>
      <w:r>
        <w:rPr>
          <w:rFonts w:eastAsia="Arial" w:cs="Arial"/>
          <w:b w:val="false"/>
          <w:bCs w:val="false"/>
          <w:color w:val="auto"/>
          <w:kern w:val="0"/>
          <w:sz w:val="24"/>
          <w:szCs w:val="24"/>
          <w:lang w:val="pt-BR" w:eastAsia="zh-CN" w:bidi="hi-IN"/>
        </w:rPr>
        <w:t>24 de julho de 1985,</w:t>
      </w:r>
      <w:r>
        <w:rPr>
          <w:b w:val="false"/>
          <w:bCs w:val="false"/>
          <w:color w:val="auto"/>
          <w:sz w:val="24"/>
          <w:szCs w:val="24"/>
        </w:rPr>
        <w:t xml:space="preserve"> e,</w:t>
      </w:r>
    </w:p>
    <w:p>
      <w:pPr>
        <w:pStyle w:val="LOnormal"/>
        <w:spacing w:lineRule="auto" w:line="360" w:before="119" w:after="119"/>
        <w:jc w:val="both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LOnormal"/>
        <w:spacing w:lineRule="auto" w:line="360" w:before="119" w:after="119"/>
        <w:jc w:val="both"/>
        <w:rPr/>
      </w:pPr>
      <w:bookmarkStart w:id="4" w:name="_heading=h.41lsuy5wksgt"/>
      <w:bookmarkEnd w:id="4"/>
      <w:r>
        <w:rPr>
          <w:rFonts w:eastAsia="Arial" w:cs="Arial"/>
          <w:b/>
          <w:color w:val="auto"/>
          <w:sz w:val="24"/>
          <w:szCs w:val="24"/>
        </w:rPr>
        <w:t xml:space="preserve">CONSIDERANDO </w:t>
      </w:r>
      <w:r>
        <w:rPr>
          <w:rFonts w:eastAsia="Arial" w:cs="Arial"/>
          <w:color w:val="auto"/>
          <w:sz w:val="24"/>
          <w:szCs w:val="24"/>
        </w:rPr>
        <w:t xml:space="preserve">o disposto no art. 37, </w:t>
      </w:r>
      <w:r>
        <w:rPr>
          <w:rFonts w:eastAsia="Arial" w:cs="Arial"/>
          <w:i/>
          <w:color w:val="auto"/>
          <w:sz w:val="24"/>
          <w:szCs w:val="24"/>
        </w:rPr>
        <w:t>caput</w:t>
      </w:r>
      <w:r>
        <w:rPr>
          <w:rFonts w:eastAsia="Arial" w:cs="Arial"/>
          <w:color w:val="auto"/>
          <w:sz w:val="24"/>
          <w:szCs w:val="24"/>
        </w:rPr>
        <w:t>, da Constituição</w:t>
      </w:r>
      <w:r>
        <w:rPr>
          <w:rFonts w:eastAsia="Arial" w:cs="Arial"/>
          <w:color w:val="000000"/>
          <w:sz w:val="24"/>
          <w:szCs w:val="24"/>
        </w:rPr>
        <w:t xml:space="preserve"> Federal, que prevê que a Administração Pública direta e indireta de qualquer dos poderes da União, dos Estados, do Distrito Federal e dos Municípios obe</w:t>
      </w:r>
      <w:r>
        <w:rPr>
          <w:rFonts w:eastAsia="Arial" w:cs="Arial"/>
          <w:color w:val="auto"/>
          <w:sz w:val="24"/>
          <w:szCs w:val="24"/>
        </w:rPr>
        <w:t>decerá aos princípios de legalidade, impessoalidade, moralidade, publicidade e eficiência;</w:t>
      </w:r>
      <w:r>
        <w:rPr>
          <w:rFonts w:eastAsia="Arial" w:cs="Arial"/>
          <w:b/>
          <w:color w:val="auto"/>
          <w:sz w:val="24"/>
          <w:szCs w:val="24"/>
        </w:rPr>
        <w:t xml:space="preserve"> </w:t>
      </w:r>
      <w:bookmarkStart w:id="5" w:name="_heading=h.ih8aqu9w2wvv"/>
      <w:bookmarkEnd w:id="5"/>
    </w:p>
    <w:p>
      <w:pPr>
        <w:pStyle w:val="LOnormal"/>
        <w:spacing w:lineRule="auto" w:line="360" w:before="119" w:after="119"/>
        <w:jc w:val="both"/>
        <w:rPr>
          <w:rFonts w:ascii="Arial" w:hAnsi="Arial" w:eastAsia="Arial" w:cs="Arial"/>
          <w:sz w:val="24"/>
          <w:szCs w:val="24"/>
        </w:rPr>
      </w:pPr>
      <w:bookmarkStart w:id="6" w:name="_heading=h.u8c6l3dljql3"/>
      <w:bookmarkEnd w:id="6"/>
      <w:r>
        <w:rPr>
          <w:rFonts w:eastAsia="Arial" w:cs="Arial"/>
          <w:b/>
          <w:color w:val="auto"/>
          <w:sz w:val="24"/>
          <w:szCs w:val="24"/>
        </w:rPr>
        <w:t xml:space="preserve">CONSIDERANDO </w:t>
      </w:r>
      <w:r>
        <w:rPr>
          <w:rFonts w:eastAsia="Arial" w:cs="Arial"/>
          <w:color w:val="auto"/>
          <w:sz w:val="24"/>
          <w:szCs w:val="24"/>
        </w:rPr>
        <w:t xml:space="preserve">o disposto no art. 196 da Constituição Federal que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assegura</w:t>
      </w:r>
      <w:r>
        <w:rPr>
          <w:rFonts w:eastAsia="Arial" w:cs="Arial"/>
          <w:color w:val="auto"/>
          <w:sz w:val="24"/>
          <w:szCs w:val="24"/>
        </w:rPr>
        <w:t xml:space="preserve"> a todos o direito à saúde, que é dever do Estado e deve ser garantido por meio de políticas públicas que promovam o acesso efetivo, universal e igualitário às ações e serviços de saúde; </w:t>
      </w:r>
      <w:bookmarkStart w:id="7" w:name="_heading=h.darv2p628r2f"/>
      <w:bookmarkEnd w:id="7"/>
    </w:p>
    <w:p>
      <w:pPr>
        <w:pStyle w:val="LOnormal"/>
        <w:spacing w:lineRule="auto" w:line="360" w:before="119" w:after="119"/>
        <w:jc w:val="both"/>
        <w:rPr>
          <w:rFonts w:ascii="Arial" w:hAnsi="Arial" w:eastAsia="Arial" w:cs="Arial"/>
          <w:sz w:val="24"/>
          <w:szCs w:val="24"/>
        </w:rPr>
      </w:pPr>
      <w:bookmarkStart w:id="8" w:name="_heading=h.ohj5r46ok1vv"/>
      <w:bookmarkEnd w:id="8"/>
      <w:r>
        <w:rPr>
          <w:rFonts w:eastAsia="Arial" w:cs="Arial"/>
          <w:b/>
          <w:color w:val="auto"/>
          <w:sz w:val="24"/>
          <w:szCs w:val="24"/>
        </w:rPr>
        <w:t>CONSIDERANDO</w:t>
      </w:r>
      <w:r>
        <w:rPr>
          <w:rFonts w:eastAsia="Arial" w:cs="Arial"/>
          <w:color w:val="auto"/>
          <w:sz w:val="24"/>
          <w:szCs w:val="24"/>
        </w:rPr>
        <w:t xml:space="preserve"> a Declaraç</w:t>
      </w:r>
      <w:r>
        <w:rPr>
          <w:rFonts w:eastAsia="Arial" w:cs="Arial"/>
          <w:color w:val="000000"/>
          <w:sz w:val="24"/>
          <w:szCs w:val="24"/>
        </w:rPr>
        <w:t>ão de Emergência em Saúde Pública de Importância Internacional pela Organização Mundial da Saúde em 30 de janeiro de 2020, em decorrência da infecção humana pelo novo coronavírus (causador da COVID-19);</w:t>
      </w:r>
      <w:bookmarkStart w:id="9" w:name="_heading=h.z5bul6g8z8r"/>
      <w:bookmarkEnd w:id="9"/>
    </w:p>
    <w:p>
      <w:pPr>
        <w:pStyle w:val="LOnormal"/>
        <w:spacing w:lineRule="auto" w:line="360" w:before="119" w:after="119"/>
        <w:jc w:val="both"/>
        <w:rPr>
          <w:rFonts w:ascii="Arial" w:hAnsi="Arial" w:eastAsia="Arial" w:cs="Arial"/>
          <w:sz w:val="24"/>
          <w:szCs w:val="24"/>
        </w:rPr>
      </w:pPr>
      <w:bookmarkStart w:id="10" w:name="_heading=h.e455coev8wcp"/>
      <w:bookmarkEnd w:id="10"/>
      <w:r>
        <w:rPr>
          <w:rFonts w:eastAsia="Arial" w:cs="Arial"/>
          <w:b/>
          <w:color w:val="auto"/>
          <w:sz w:val="24"/>
          <w:szCs w:val="24"/>
        </w:rPr>
        <w:t xml:space="preserve">CONSIDERANDO </w:t>
      </w:r>
      <w:r>
        <w:rPr>
          <w:rFonts w:eastAsia="Arial" w:cs="Arial"/>
          <w:color w:val="auto"/>
          <w:sz w:val="24"/>
          <w:szCs w:val="24"/>
        </w:rPr>
        <w:t>a situação de emergência de saúde pública de importância internacional declarada pela Lei Federal nº 13.979, de 6 de fevereiro de 2020, que dispõe sobre a adoção de medidas para o enfrentamento da emergência de saúde pública;</w:t>
      </w:r>
      <w:bookmarkStart w:id="11" w:name="_heading=h.cj3o2rcxxsjv"/>
      <w:bookmarkEnd w:id="11"/>
    </w:p>
    <w:p>
      <w:pPr>
        <w:pStyle w:val="LOnormal"/>
        <w:spacing w:lineRule="auto" w:line="360" w:before="119" w:after="119"/>
        <w:jc w:val="both"/>
        <w:rPr>
          <w:rFonts w:ascii="Arial" w:hAnsi="Arial" w:eastAsia="Arial" w:cs="Arial"/>
          <w:b/>
          <w:b/>
          <w:sz w:val="24"/>
          <w:szCs w:val="24"/>
        </w:rPr>
      </w:pPr>
      <w:bookmarkStart w:id="12" w:name="_heading=h.tzp27d35t8cn"/>
      <w:bookmarkEnd w:id="12"/>
      <w:r>
        <w:rPr>
          <w:rFonts w:eastAsia="Arial" w:cs="Arial"/>
          <w:b/>
          <w:color w:val="auto"/>
          <w:sz w:val="24"/>
          <w:szCs w:val="24"/>
        </w:rPr>
        <w:t xml:space="preserve">CONSIDERANDO </w:t>
      </w:r>
      <w:r>
        <w:rPr>
          <w:rFonts w:eastAsia="Arial" w:cs="Arial"/>
          <w:color w:val="auto"/>
          <w:sz w:val="24"/>
          <w:szCs w:val="24"/>
        </w:rPr>
        <w:t xml:space="preserve">a edição do Decreto Estadual nº 29.513, de 13 de março de 2020, que regulamenta, no âmbito do Estado do Rio Grande do Norte, a Lei Federal nº 13.979/2020; </w:t>
      </w:r>
      <w:bookmarkStart w:id="13" w:name="_heading=h.ywq9l8qdykoq"/>
      <w:bookmarkEnd w:id="13"/>
    </w:p>
    <w:p>
      <w:pPr>
        <w:pStyle w:val="LOnormal"/>
        <w:spacing w:lineRule="auto" w:line="360" w:before="119" w:after="119"/>
        <w:jc w:val="both"/>
        <w:rPr/>
      </w:pPr>
      <w:bookmarkStart w:id="14" w:name="_heading=h.2eronspoj2lu"/>
      <w:bookmarkEnd w:id="14"/>
      <w:r>
        <w:rPr>
          <w:rFonts w:eastAsia="Arial" w:cs="Arial"/>
          <w:b/>
          <w:color w:val="auto"/>
          <w:sz w:val="24"/>
          <w:szCs w:val="24"/>
        </w:rPr>
        <w:t xml:space="preserve">CONSIDERANDO </w:t>
      </w:r>
      <w:r>
        <w:rPr>
          <w:rFonts w:eastAsia="Arial" w:cs="Arial"/>
          <w:color w:val="auto"/>
          <w:sz w:val="24"/>
          <w:szCs w:val="24"/>
        </w:rPr>
        <w:t xml:space="preserve">a edição do Decreto Estadual nº 29.542, de 20 de março de 2020, que regulamenta a compra direta de bens, medicamentos, insumos, leitos de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Unidade de Terapia Intensiva (UTI)</w:t>
      </w:r>
      <w:r>
        <w:rPr>
          <w:rFonts w:eastAsia="Arial" w:cs="Arial"/>
          <w:color w:val="auto"/>
          <w:sz w:val="24"/>
          <w:szCs w:val="24"/>
        </w:rPr>
        <w:t xml:space="preserve"> e serviços a serem empregados pelo Sistema de Saúde Pública do Rio Grande do Norte na prevenção ao contágio e combate ao novo coronavírus (causador da COVID-19);</w:t>
      </w:r>
      <w:bookmarkStart w:id="15" w:name="_heading=h.x2y4qrb1lo2n"/>
      <w:bookmarkEnd w:id="15"/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bookmarkStart w:id="16" w:name="_heading=h.ydnbukg74yos"/>
      <w:bookmarkEnd w:id="16"/>
      <w:r>
        <w:rPr>
          <w:rFonts w:eastAsia="Arial" w:cs="Arial"/>
          <w:b/>
          <w:color w:val="auto"/>
          <w:sz w:val="24"/>
          <w:szCs w:val="24"/>
        </w:rPr>
        <w:t>CONSIDERANDO</w:t>
      </w:r>
      <w:r>
        <w:rPr>
          <w:rFonts w:eastAsia="Arial" w:cs="Arial"/>
          <w:color w:val="auto"/>
          <w:sz w:val="24"/>
          <w:szCs w:val="24"/>
        </w:rPr>
        <w:t xml:space="preserve"> que cabe ao Ministério Público, por dever constitucional, a defesa dos interesses sociais e individuais indisponíveis, sendo sua função institucional “zelar pelo efetivo respeito dos Poderes Públicos e dos serviços de relevância pública aos direitos constitucionalmente assegurados, promovendo  as medidas necessárias a sua garantia”, como expressamente determina o art. 129, inciso II, da Carta Magna;</w:t>
      </w:r>
      <w:bookmarkStart w:id="17" w:name="_heading=h.34q0qeu2wj5f"/>
      <w:bookmarkEnd w:id="17"/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bookmarkStart w:id="18" w:name="_heading=h.ip74ugccj01"/>
      <w:bookmarkEnd w:id="18"/>
      <w:r>
        <w:rPr>
          <w:b/>
          <w:color w:val="auto"/>
          <w:sz w:val="24"/>
          <w:szCs w:val="24"/>
        </w:rPr>
        <w:t>CONSIDERANDO</w:t>
      </w:r>
      <w:r>
        <w:rPr>
          <w:color w:val="auto"/>
          <w:sz w:val="24"/>
          <w:szCs w:val="24"/>
        </w:rPr>
        <w:t xml:space="preserve"> que “a saúde é um direito fundamental do ser humano, devendo o Estado prover as condições indispensáveis ao seu pleno exercício” (art. 2º da Lei nº 8.080/1990);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bookmarkStart w:id="19" w:name="_heading=h.6b6qsjl4ok09"/>
      <w:bookmarkEnd w:id="19"/>
      <w:r>
        <w:rPr>
          <w:b/>
          <w:bCs/>
          <w:color w:val="auto"/>
          <w:sz w:val="24"/>
          <w:szCs w:val="24"/>
        </w:rPr>
        <w:t>CONSIDERANDO</w:t>
      </w:r>
      <w:r>
        <w:rPr>
          <w:color w:val="auto"/>
          <w:sz w:val="24"/>
          <w:szCs w:val="24"/>
        </w:rPr>
        <w:t xml:space="preserve"> a necessidade emergencial de ampliação e aparelhamento das unidades de tratamento das pessoas infectadas, com aquisição ágil e que não esbarre em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entraves</w:t>
      </w:r>
      <w:r>
        <w:rPr>
          <w:color w:val="auto"/>
          <w:sz w:val="24"/>
          <w:szCs w:val="24"/>
        </w:rPr>
        <w:t xml:space="preserve"> burocráticos, tendo em vista a rápida disseminação e letalidade da doença, princi</w:t>
      </w:r>
      <w:r>
        <w:rPr>
          <w:color w:val="000000"/>
          <w:sz w:val="24"/>
          <w:szCs w:val="24"/>
        </w:rPr>
        <w:t>palmente para o grupo de risco;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bookmarkStart w:id="20" w:name="_heading=h.vu6igpmgzzvy"/>
      <w:bookmarkEnd w:id="20"/>
      <w:r>
        <w:rPr>
          <w:b/>
          <w:color w:val="000000"/>
          <w:sz w:val="24"/>
          <w:szCs w:val="24"/>
        </w:rPr>
        <w:t xml:space="preserve">CONSIDERANDO 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que, consoante divulgado recorrentemente pelas autoridades de saúde, para o enfrentamento do coronavírus imprescindível se faz a ampliação do número de leitos de UTI existentes, tendo em vista a longa permanência de alguns dos infectados sob os referidos cuidados intensivos;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b/>
          <w:bCs/>
          <w:color w:val="000000"/>
          <w:kern w:val="0"/>
          <w:sz w:val="24"/>
          <w:szCs w:val="24"/>
          <w:lang w:val="pt-BR" w:eastAsia="zh-CN" w:bidi="hi-IN"/>
        </w:rPr>
        <w:t>CONSIDERANDO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 xml:space="preserve"> que conforme informações oriundas do comitê de especialistas da Secretaria de Saúde Pública do Rio Grande do Norte (SESAP), diante da pandemia da COVID-19, a perspectiva é de que nos próximos dias a ocupação de leitos da rede pública de saúde estadual aumentará exponencialmente;</w:t>
      </w:r>
    </w:p>
    <w:p>
      <w:pPr>
        <w:pStyle w:val="LO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>CONSIDERA</w:t>
      </w:r>
      <w:r>
        <w:rPr>
          <w:rFonts w:eastAsia="Arial" w:cs="Arial"/>
          <w:b/>
          <w:bCs/>
          <w:color w:val="000000"/>
          <w:kern w:val="0"/>
          <w:sz w:val="24"/>
          <w:szCs w:val="24"/>
          <w:lang w:val="pt-BR" w:eastAsia="zh-CN" w:bidi="hi-IN"/>
        </w:rPr>
        <w:t xml:space="preserve">NDO 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que mesmo com a adoção de medidas com vistas à ampliação de leitos de UTI e de retaguarda nos hospitais atualmente existentes na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s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 xml:space="preserve"> rede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s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 xml:space="preserve"> pública e privada de saúde do E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STADO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, o quantitativo dos referidos leitos ainda se revela insuficiente ao atendimento de infectados pelo coronavírus que necessita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rão de cuidados intensivos e hospitalares;</w:t>
      </w:r>
    </w:p>
    <w:p>
      <w:pPr>
        <w:pStyle w:val="LO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 xml:space="preserve">CONSIDERANDO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que apesar da recente nomeação de pessoal para atuação na rede de saúde pública estadual, a entrada em exercício dos servidores públicos não prescinde da observância dos prazos legais, o que pode obstaculizar a imed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iata implantação de leitos de UTI no âmbito do E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STADO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, os quais demandam significativa equipe para a respectiva operacionalização;</w:t>
      </w:r>
    </w:p>
    <w:p>
      <w:pPr>
        <w:pStyle w:val="LO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000000"/>
          <w:kern w:val="0"/>
          <w:sz w:val="24"/>
          <w:szCs w:val="24"/>
          <w:lang w:val="pt-BR" w:eastAsia="zh-CN" w:bidi="hi-IN"/>
        </w:rPr>
        <w:t>CONSIDERANDO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 xml:space="preserve"> a perspectiva de instalação de leitos de Unidade de Cuidados Intermediários (UCI) em caráter temporário e, ademais, a constatação de que já há defasagem de pessoal na área da saúde, o que revela que essas nomeações não serão suficientes para suprir a necessidade de pessoal para os 100 (cem) novos leitos de UTI e retaguarda pretendidos pela SESAP, tendo em vista q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ue a recente convocação de aprovados em concurso público para a saúde teve como objetivo o preenchimento de vacâncias, razão pela qual os novos servidores não necessariamente serão direcionados às ações de enfrentamento ao coronavírus;</w:t>
      </w:r>
    </w:p>
    <w:p>
      <w:pPr>
        <w:pStyle w:val="LO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 xml:space="preserve">CONSIDERANDO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que o E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STADO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 possui uma fila de espera de aproximadamente 14.000 (catorze mil) pacientes para a realização de cirurgias e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letivas, as quais não podem restar inviabilizadas por significativo lapso temporal, o que resulta na necessidade de imediata criação de leitos adicionais, imprescindíveis ao urgente tratamento de doentes acometidos pela COVID-19, tendo em vista a perspectiva de crescimento exponencial de infectados pelo coronaví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rus;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 xml:space="preserve">CONSIDERANDO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o Ofício nº 4/2020/SESAP - COVID/SESAP - COAD/SESAP – SECRETARIO-SESAP, no qual a Secretaria de Estado de Saúde Pública informa que, em que pese a deflagração de diversos procedimentos administrativos com vistas à aquisição de equipamentos, insumos e medicamentos, diante da escassez de produtos no mercado, o órgão tem enfrentado dificuldades na conclusão das contratações e aquisições, o que, reconheça-se, é fato público e notório;</w:t>
      </w:r>
    </w:p>
    <w:p>
      <w:pPr>
        <w:pStyle w:val="LO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>CONSIDERANDO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 que, conforme se depreende do edital de chamamento público emergencial divulgado pela Secretaria Estadual de Saúde Pública (SESAP) no Diário Oficial nº 14.636, de 1º de abril de 2020, o E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STADO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 possui a perspectiva de instalação de Hospital de Campanha no Estádio Arena das Dunas, em Natal, com proposta de capacidade para 53 (cinquenta e três) leitos de UTI, 45 (quarenta e cinco) leitos de retaguarda e 2 (dois) leitos de isolamento, totalizando 100 (cem) leitos destinados ao enfrentamento da COVID-19;</w:t>
      </w:r>
    </w:p>
    <w:p>
      <w:pPr>
        <w:pStyle w:val="LO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>CONSIDERANDO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 que o referido edital tem como escopo a contratação de Organização Social ou Instituição Filantrópica para gestão de serviços de saúde, a qual deverá fornecer equipamentos e material médico-hospitalar, além do gerenciamento de todo o funcionamento do Hospital de Campanha, inclusive os recursos humanos destinados à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s atividades desenvolvidas no nosocômio, abarcando também o pessoal voltado ao desempenho das tarefas administrativas no referido hospital;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b/>
          <w:bCs/>
          <w:color w:val="000000"/>
          <w:kern w:val="0"/>
          <w:sz w:val="24"/>
          <w:szCs w:val="24"/>
          <w:lang w:val="pt-BR" w:eastAsia="zh-CN" w:bidi="hi-IN"/>
        </w:rPr>
        <w:t>CONSIDERANDO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 xml:space="preserve"> que o projeto de instalação de Hospital de Campanha tem por objetivo assegurar maior disponibilidade no quantitativo de leitos de UTI, sobretudo visando o atendimento de pacientes críticos acometidos pela COVID-19;</w:t>
      </w:r>
    </w:p>
    <w:p>
      <w:pPr>
        <w:pStyle w:val="LO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000000"/>
          <w:kern w:val="0"/>
          <w:sz w:val="24"/>
          <w:szCs w:val="24"/>
          <w:lang w:val="pt-BR" w:eastAsia="zh-CN" w:bidi="hi-IN"/>
        </w:rPr>
        <w:t xml:space="preserve">CONSIDERANDO 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 xml:space="preserve">as multicitadas dificuldades enfrentadas pelo 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ESTADO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 xml:space="preserve"> para a aquisição de equipamentos, insumos, 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EPI</w:t>
      </w:r>
      <w:r>
        <w:rPr>
          <w:rFonts w:eastAsia="Arial" w:cs="Arial"/>
          <w:color w:val="000000"/>
          <w:kern w:val="0"/>
          <w:sz w:val="24"/>
          <w:szCs w:val="24"/>
          <w:lang w:val="pt-BR" w:eastAsia="zh-CN" w:bidi="hi-IN"/>
        </w:rPr>
        <w:t>s, entre outros itens necessários à implantação de UTI´s, bem como a dificuldade de dotar eventual hospital de campanha de servidores públicos estaduais para gestão e atendimento, em caráter emergencial e num curto lapso temporal, de uma nova unidade de saúde com 100 (cem) leitos;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CONSIDERANDO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que o art. 4º da Lei nº 13.979/2020 </w:t>
      </w:r>
      <w:r>
        <w:rPr>
          <w:rFonts w:eastAsia="Arial" w:cs="Arial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pt-BR" w:eastAsia="zh-CN" w:bidi="hi-IN"/>
        </w:rPr>
        <w:t>viabiliza a dispensa de licitação para aquisição de bens, serviços, inclusive de engenharia, e insumos destinados ao enfrentamento da emergência de saúde pública de importância internacional decorrente do coronavírus;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>CONSIDERANDO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 que o </w:t>
      </w:r>
      <w:r>
        <w:rPr>
          <w:color w:val="auto"/>
          <w:sz w:val="24"/>
          <w:szCs w:val="24"/>
        </w:rPr>
        <w:t xml:space="preserve">art. 4º-E da Lei Federal nº 13.979/2020, acrescido pela Medida Provisória nº 926, de 20 de março de 2020, permite que nas contratações para aquisição de bens, serviços e insumos necessários ao enfrentamento da emergência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de saúde pública em comento</w:t>
      </w:r>
      <w:r>
        <w:rPr>
          <w:color w:val="auto"/>
          <w:sz w:val="24"/>
          <w:szCs w:val="24"/>
        </w:rPr>
        <w:t>, será admitida a apresentação de termo de referência simplificado ou de projeto básico simplificado, podendo ocorrer, excepcionalmente, até mesmo a dispensa da estimativa de preços, mediante justificativa da autoridade competente;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CONSIDERANDO</w:t>
      </w:r>
      <w:r>
        <w:rPr>
          <w:color w:val="auto"/>
          <w:sz w:val="24"/>
          <w:szCs w:val="24"/>
        </w:rPr>
        <w:t xml:space="preserve"> que o referido dispositivo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expressamente preconiza que </w:t>
      </w:r>
      <w:r>
        <w:rPr>
          <w:color w:val="auto"/>
          <w:sz w:val="24"/>
          <w:szCs w:val="24"/>
        </w:rPr>
        <w:t>preços obtidos a partir da estimativa de preços não impedem a contratação pelo Poder Público por valores superiores decorrentes de oscilações ocasionadas pela variação de preços, hipótese em que deverá haver justificativa nos autos da contratação/aquisição;</w:t>
      </w:r>
    </w:p>
    <w:p>
      <w:pPr>
        <w:pStyle w:val="LO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bookmarkStart w:id="21" w:name="_heading=h.cjy1ucp995i5"/>
      <w:bookmarkEnd w:id="21"/>
      <w:r>
        <w:rPr>
          <w:b/>
          <w:color w:val="auto"/>
          <w:sz w:val="24"/>
          <w:szCs w:val="24"/>
        </w:rPr>
        <w:t xml:space="preserve">CELEBRAM </w:t>
      </w:r>
      <w:r>
        <w:rPr>
          <w:color w:val="auto"/>
          <w:sz w:val="24"/>
          <w:szCs w:val="24"/>
        </w:rPr>
        <w:t>o presente</w:t>
      </w:r>
      <w:r>
        <w:rPr>
          <w:b/>
          <w:color w:val="auto"/>
          <w:sz w:val="24"/>
          <w:szCs w:val="24"/>
        </w:rPr>
        <w:t xml:space="preserve"> COMPROMISSO DE AJUSTAMENTO DE CONDUTA</w:t>
      </w:r>
      <w:r>
        <w:rPr>
          <w:b w:val="false"/>
          <w:bCs w:val="false"/>
          <w:color w:val="auto"/>
          <w:sz w:val="24"/>
          <w:szCs w:val="24"/>
        </w:rPr>
        <w:t>, n</w:t>
      </w:r>
      <w:r>
        <w:rPr>
          <w:color w:val="auto"/>
          <w:sz w:val="24"/>
          <w:szCs w:val="24"/>
        </w:rPr>
        <w:t>os termos das seguintes cláusulas e condições:</w:t>
      </w:r>
    </w:p>
    <w:p>
      <w:pPr>
        <w:pStyle w:val="LOnormal"/>
        <w:spacing w:lineRule="auto" w:line="360" w:before="119" w:after="1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360" w:before="119" w:after="1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360" w:before="119" w:after="119"/>
        <w:jc w:val="center"/>
        <w:rPr>
          <w:b/>
          <w:b/>
          <w:sz w:val="24"/>
          <w:szCs w:val="24"/>
        </w:rPr>
      </w:pPr>
      <w:bookmarkStart w:id="22" w:name="_heading=h.x9n6qordu6zb"/>
      <w:bookmarkEnd w:id="22"/>
      <w:r>
        <w:rPr>
          <w:b/>
          <w:color w:val="auto"/>
          <w:sz w:val="24"/>
          <w:szCs w:val="24"/>
        </w:rPr>
        <w:t>CLÁUSULA PRIMEIRA – DO OBJETO</w:t>
      </w:r>
    </w:p>
    <w:p>
      <w:pPr>
        <w:pStyle w:val="LOnormal"/>
        <w:spacing w:lineRule="auto" w:line="360" w:before="119" w:after="11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Onormal"/>
        <w:spacing w:lineRule="auto" w:line="360" w:before="119" w:after="119"/>
        <w:jc w:val="both"/>
        <w:rPr/>
      </w:pPr>
      <w:r>
        <w:rPr>
          <w:b/>
          <w:bCs/>
          <w:color w:val="auto"/>
          <w:sz w:val="24"/>
          <w:szCs w:val="24"/>
        </w:rPr>
        <w:t>1.1.</w:t>
      </w:r>
      <w:r>
        <w:rPr>
          <w:b w:val="false"/>
          <w:bCs w:val="false"/>
          <w:color w:val="auto"/>
          <w:sz w:val="24"/>
          <w:szCs w:val="24"/>
        </w:rPr>
        <w:t xml:space="preserve"> O objeto deste Termo de Compromisso de Ajustamento de Conduta </w:t>
      </w:r>
      <w:r>
        <w:rPr>
          <w:rFonts w:eastAsia="Arial" w:cs="Arial"/>
          <w:b w:val="false"/>
          <w:bCs w:val="false"/>
          <w:color w:val="auto"/>
          <w:kern w:val="0"/>
          <w:sz w:val="24"/>
          <w:szCs w:val="24"/>
          <w:lang w:val="pt-BR" w:eastAsia="zh-CN" w:bidi="hi-IN"/>
        </w:rPr>
        <w:t>consiste na adequação dos</w:t>
      </w:r>
      <w:r>
        <w:rPr>
          <w:b w:val="false"/>
          <w:bCs w:val="false"/>
          <w:color w:val="auto"/>
          <w:sz w:val="24"/>
          <w:szCs w:val="24"/>
        </w:rPr>
        <w:t xml:space="preserve"> procedimentos para implantação e funcionamento de </w:t>
      </w:r>
      <w:r>
        <w:rPr>
          <w:b w:val="false"/>
          <w:bCs w:val="false"/>
          <w:color w:val="auto"/>
          <w:sz w:val="24"/>
          <w:szCs w:val="24"/>
        </w:rPr>
        <w:t xml:space="preserve">um </w:t>
      </w:r>
      <w:r>
        <w:rPr>
          <w:b w:val="false"/>
          <w:bCs w:val="false"/>
          <w:color w:val="auto"/>
          <w:sz w:val="24"/>
          <w:szCs w:val="24"/>
        </w:rPr>
        <w:t xml:space="preserve">Hospital de Campanha </w:t>
      </w:r>
      <w:r>
        <w:rPr>
          <w:b w:val="false"/>
          <w:bCs w:val="false"/>
          <w:color w:val="auto"/>
          <w:sz w:val="24"/>
          <w:szCs w:val="24"/>
        </w:rPr>
        <w:t>em</w:t>
      </w:r>
      <w:r>
        <w:rPr>
          <w:b w:val="false"/>
          <w:bCs w:val="false"/>
          <w:color w:val="auto"/>
          <w:sz w:val="24"/>
          <w:szCs w:val="24"/>
        </w:rPr>
        <w:t xml:space="preserve"> Natal, dentre os quais se inclui </w:t>
      </w:r>
      <w:r>
        <w:rPr>
          <w:rFonts w:eastAsia="Arial" w:cs="Arial"/>
          <w:b w:val="false"/>
          <w:bCs w:val="false"/>
          <w:color w:val="auto"/>
          <w:kern w:val="0"/>
          <w:sz w:val="24"/>
          <w:szCs w:val="24"/>
          <w:lang w:val="pt-BR" w:eastAsia="zh-CN" w:bidi="hi-IN"/>
        </w:rPr>
        <w:t>eventual contratação emergencial de pessoa jurídica responsável pela gestão do nosocômio, mediante fornecimento total ou parcial de recursos humanos, bens</w:t>
      </w:r>
      <w:r>
        <w:rPr>
          <w:b w:val="false"/>
          <w:bCs w:val="false"/>
          <w:color w:val="auto"/>
          <w:sz w:val="24"/>
          <w:szCs w:val="24"/>
        </w:rPr>
        <w:t>, insumos, medicamentos, equipamentos hospitalares e Equipamentos de Proteção Individual (EPIs) a serem empregados com tal finalidade, tudo com o escopo de enfrentamento emergencial da grave crise provocada pelo coronavírus, causador da COVID-19.</w:t>
      </w:r>
    </w:p>
    <w:p>
      <w:pPr>
        <w:pStyle w:val="LOnormal"/>
        <w:spacing w:lineRule="auto" w:line="360" w:before="119" w:after="11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Onormal"/>
        <w:spacing w:lineRule="auto" w:line="360" w:before="119" w:after="119"/>
        <w:jc w:val="center"/>
        <w:rPr>
          <w:b/>
          <w:b/>
          <w:sz w:val="24"/>
          <w:szCs w:val="24"/>
        </w:rPr>
      </w:pPr>
      <w:r>
        <w:rPr>
          <w:rFonts w:eastAsia="Arial" w:cs="Arial"/>
          <w:b/>
          <w:color w:val="auto"/>
          <w:kern w:val="0"/>
          <w:sz w:val="24"/>
          <w:szCs w:val="24"/>
          <w:lang w:val="pt-BR" w:eastAsia="zh-CN" w:bidi="hi-IN"/>
        </w:rPr>
        <w:t>CLÁUSULA SEGUNDA – DAS OBRIGAÇÕES DO ESTADO</w:t>
      </w:r>
    </w:p>
    <w:p>
      <w:pPr>
        <w:pStyle w:val="LOnormal"/>
        <w:spacing w:lineRule="auto" w:line="360" w:before="119" w:after="119"/>
        <w:jc w:val="center"/>
        <w:rPr>
          <w:b/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119" w:after="119"/>
        <w:jc w:val="both"/>
        <w:rPr/>
      </w:pPr>
      <w:r>
        <w:rPr>
          <w:rFonts w:eastAsia="Arial" w:cs="Arial"/>
          <w:b/>
          <w:color w:val="auto"/>
          <w:kern w:val="0"/>
          <w:sz w:val="24"/>
          <w:szCs w:val="24"/>
          <w:lang w:val="pt-BR" w:eastAsia="zh-CN" w:bidi="hi-IN"/>
        </w:rPr>
        <w:t xml:space="preserve">2.1. </w:t>
      </w:r>
      <w:r>
        <w:rPr>
          <w:rFonts w:eastAsia="Arial" w:cs="Arial"/>
          <w:b w:val="false"/>
          <w:bCs w:val="false"/>
          <w:color w:val="auto"/>
          <w:kern w:val="0"/>
          <w:sz w:val="24"/>
          <w:szCs w:val="24"/>
          <w:lang w:val="pt-BR" w:eastAsia="zh-CN" w:bidi="hi-IN"/>
        </w:rPr>
        <w:t>O</w:t>
      </w:r>
      <w:r>
        <w:rPr>
          <w:b w:val="false"/>
          <w:bCs w:val="false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ESTADO se compromete a </w:t>
      </w:r>
      <w:r>
        <w:rPr>
          <w:color w:val="auto"/>
          <w:sz w:val="24"/>
          <w:szCs w:val="24"/>
        </w:rPr>
        <w:t>continuar empreendendo todos os esforços para agiliza</w:t>
      </w:r>
      <w:r>
        <w:rPr>
          <w:color w:val="auto"/>
          <w:sz w:val="24"/>
          <w:szCs w:val="24"/>
        </w:rPr>
        <w:t xml:space="preserve">r o processo de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implantação e operacionalização de Hospital de Campanha, a ser instalado no Estádio Arena das Dunas ou em outra unidade, imóvel ou espaço previamente ajustado com o Ministério Público, visando o atendimento à necessidade emergencial de ampliação e aparelhamento das unidades de tratamento das pessoas infectadas, observando estratégia que não viole os princípios da legalidade, da impessoalidade, moralidade, da publicidade, da eficiência e da economicidade.</w:t>
      </w:r>
    </w:p>
    <w:p>
      <w:pPr>
        <w:pStyle w:val="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>2.2.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 Diante da situação emergencial ocasionada pela pandemia da COVID-19, para o cumprimento deste Termo de Ajustamento de Conduta, o ESTADO se compromete a utilizar de todos os meios legalmente previstos para tanto, dentre os quais a possível contratação emergencial de pessoa jurídica destinada à gestão do Hospital de Campanha e ao fornecimento, total ou parcial, de recursos humanos, bens, insumos, materiais hospitalares e EPIs necessários ao eficaz funcionamento do nosocômio, desde que tal contratação observe os princípios acima descritos, dando sempre prioridade à alocação de leitos próprios.</w:t>
      </w:r>
    </w:p>
    <w:p>
      <w:pPr>
        <w:pStyle w:val="Normal"/>
        <w:spacing w:lineRule="auto" w:line="360" w:before="119" w:after="119"/>
        <w:jc w:val="both"/>
        <w:rPr/>
      </w:pPr>
      <w:bookmarkStart w:id="23" w:name="__DdeLink__8575_806185342"/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 xml:space="preserve">2.3. </w:t>
      </w:r>
      <w:r>
        <w:rPr>
          <w:rFonts w:eastAsia="Arial" w:cs="Arial"/>
          <w:b w:val="false"/>
          <w:bCs w:val="false"/>
          <w:color w:val="auto"/>
          <w:kern w:val="0"/>
          <w:sz w:val="24"/>
          <w:szCs w:val="24"/>
          <w:lang w:val="pt-BR" w:eastAsia="zh-CN" w:bidi="hi-IN"/>
        </w:rPr>
        <w:t xml:space="preserve">O ESTADO fica, desde já, autorizado a ampliar o universo de virtuais concorrentes no chamamento público publicado no Diário Oficial do Estado do Rio Grande do Norte nº 14.636, de 1º de abril de 2020 (que tinha como escopo a contratação de Organização Social ou Instituição Filantrópica para gestão de serviços de saúde do Hospital de Campanha), de modo a permitir a mais ampla competição e seleção da proposta mais vantajosa para o erário e para os interesses dos serviços de saúde em comento, podendo selecionar sociedades empresariais hospitalares e de saúde em geral. Caso fracassado o referido  chamamento público, o ESTADO se compromete a empregar todos os meios legalmente cabíveis e ora ajustados à imediata instalação e funcionamento do Hospital de Campanha, seja através da contratação de Organização Social, Instituição Filantrópica ou sociedade empresarial hospitalar, inclusive mediante a locação de bens e equipamentos, celebração de contratos de gestão com uma ou mais instituições, inclusive podendo celebrar contratos diversos para objetos distintos (um ajuste para gestão e contratação de pessoal, outro contrato para locação de equipamentos, entre outras possibilidades); </w:t>
      </w:r>
      <w:bookmarkEnd w:id="23"/>
    </w:p>
    <w:p>
      <w:pPr>
        <w:pStyle w:val="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>2.4.</w:t>
      </w:r>
      <w:r>
        <w:rPr>
          <w:rFonts w:eastAsia="Arial" w:cs="Arial"/>
          <w:b w:val="false"/>
          <w:bCs w:val="false"/>
          <w:color w:val="auto"/>
          <w:kern w:val="0"/>
          <w:sz w:val="24"/>
          <w:szCs w:val="24"/>
          <w:lang w:val="pt-BR" w:eastAsia="zh-CN" w:bidi="hi-IN"/>
        </w:rPr>
        <w:t xml:space="preserve"> O ESTADO se compromete a empregar todos os meios legais cabíveis para garantir a efetiva utilização e aparelhamento dos leitos já disponíveis e dos que estão sendo implantados atualmente em sua rede de saúde pública, de modo a propiciar a máxima utilização da estrutura já existente na rede estadual de saúde, assegurando que os recursos destinados à implantação do Hospital de Campanha cumpram a finalidade de acrescentar leitos à quantidade já existente.</w:t>
      </w:r>
    </w:p>
    <w:p>
      <w:pPr>
        <w:pStyle w:val="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b/>
          <w:bCs/>
          <w:color w:val="auto"/>
          <w:kern w:val="0"/>
          <w:sz w:val="24"/>
          <w:szCs w:val="24"/>
          <w:lang w:val="pt-BR" w:eastAsia="zh-CN" w:bidi="hi-IN"/>
        </w:rPr>
        <w:t>2.5.</w:t>
      </w:r>
      <w:r>
        <w:rPr>
          <w:color w:val="auto"/>
          <w:sz w:val="24"/>
          <w:szCs w:val="24"/>
        </w:rPr>
        <w:t xml:space="preserve"> Na execução deste Termo de Ajustamento de Conduta, o ESTADO deve observar prioritariamente as disposições da Lei Federal nº 13.979, de 6 de fevereiro de 2020, com alterações promovidas pela Medida Provisória nº 926, de 20 de março de 2020. </w:t>
      </w:r>
    </w:p>
    <w:p>
      <w:pPr>
        <w:pStyle w:val="Normal"/>
        <w:spacing w:lineRule="auto" w:line="360" w:before="119" w:after="119"/>
        <w:jc w:val="both"/>
        <w:rPr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2.6. </w:t>
      </w:r>
      <w:r>
        <w:rPr>
          <w:color w:val="auto"/>
          <w:sz w:val="24"/>
          <w:szCs w:val="24"/>
        </w:rPr>
        <w:t xml:space="preserve">O ESTADO se compromete a proceder às contratações necessárias ao funcionamento do Hospital de Campanha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por preços não superiores aos usualmente praticados no mercado, salvo mediante justificativa, nos termos do art. 4º-E da Lei nº 13.979/2020, com a redação dada pela Medida Provisória nº 926/2020.</w:t>
      </w:r>
    </w:p>
    <w:p>
      <w:pPr>
        <w:pStyle w:val="Normal"/>
        <w:spacing w:lineRule="auto" w:line="360" w:before="119" w:after="119"/>
        <w:jc w:val="both"/>
        <w:rPr/>
      </w:pPr>
      <w:r>
        <w:rPr>
          <w:b/>
          <w:color w:val="auto"/>
          <w:sz w:val="24"/>
          <w:szCs w:val="24"/>
        </w:rPr>
        <w:t xml:space="preserve">2.7. </w:t>
      </w:r>
      <w:r>
        <w:rPr>
          <w:color w:val="auto"/>
          <w:sz w:val="24"/>
          <w:szCs w:val="24"/>
        </w:rPr>
        <w:t>O ESTADO se compromete a publicizar todas as contratações ou aquisições realizadas com fulcro neste compromisso, disponibilizando imediatamente em sítio oficial específico na rede mundi</w:t>
      </w:r>
      <w:r>
        <w:rPr>
          <w:color w:val="auto"/>
          <w:sz w:val="24"/>
          <w:szCs w:val="24"/>
          <w:u w:val="none"/>
        </w:rPr>
        <w:t>al de computadores (</w:t>
      </w:r>
      <w:r>
        <w:rPr>
          <w:i/>
          <w:iCs/>
          <w:color w:val="auto"/>
          <w:sz w:val="24"/>
          <w:szCs w:val="24"/>
          <w:u w:val="none"/>
        </w:rPr>
        <w:t>internet</w:t>
      </w:r>
      <w:r>
        <w:rPr>
          <w:color w:val="auto"/>
          <w:sz w:val="24"/>
          <w:szCs w:val="24"/>
          <w:u w:val="none"/>
        </w:rPr>
        <w:t xml:space="preserve">) informações referentes ao nome do contratado, ao número de sua inscrição na Receita Federal do Brasil, ao prazo de vigência contratual (que deve se limitar a seis meses, prorrogáveis), ao valor do contrato e ao respectivo processo de contratação ou aquisição, devendo o referido </w:t>
      </w:r>
      <w:r>
        <w:rPr>
          <w:i/>
          <w:iCs/>
          <w:color w:val="auto"/>
          <w:sz w:val="24"/>
          <w:szCs w:val="24"/>
          <w:u w:val="none"/>
        </w:rPr>
        <w:t>website</w:t>
      </w:r>
      <w:r>
        <w:rPr>
          <w:color w:val="auto"/>
          <w:sz w:val="24"/>
          <w:szCs w:val="24"/>
          <w:u w:val="none"/>
        </w:rPr>
        <w:t xml:space="preserve"> observar, no que couber, as disposições contidas no § 3º do art. 8º da Lei nº 12.527, de 18 de novembro de 2011. </w:t>
      </w:r>
    </w:p>
    <w:p>
      <w:pPr>
        <w:pStyle w:val="Normal"/>
        <w:spacing w:lineRule="auto" w:line="360" w:before="119" w:after="119"/>
        <w:jc w:val="both"/>
        <w:rPr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2.8.</w:t>
      </w:r>
      <w:r>
        <w:rPr>
          <w:color w:val="auto"/>
          <w:sz w:val="24"/>
          <w:szCs w:val="24"/>
        </w:rPr>
        <w:t xml:space="preserve"> O ESTADO se compromete a envi</w:t>
      </w:r>
      <w:r>
        <w:rPr>
          <w:color w:val="000000"/>
          <w:sz w:val="24"/>
          <w:szCs w:val="24"/>
        </w:rPr>
        <w:t>ar ao MINISTÉRIO PÚBLICO, no prazo de 72 (setenta e duas) horas da respectiva formalização, a relação dos contratos celebrados com base no presente Termo de Ajustamento de Conduta, além das informações previstas no subitem 2.5, podendo o referido prazo ser alterado mediante justificativa.</w:t>
      </w:r>
    </w:p>
    <w:p>
      <w:pPr>
        <w:pStyle w:val="Normal"/>
        <w:spacing w:lineRule="auto" w:line="360" w:before="119" w:after="1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119" w:after="119"/>
        <w:jc w:val="center"/>
        <w:rPr>
          <w:rFonts w:ascii="Arial" w:hAnsi="Arial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>
        <w:rPr>
          <w:rFonts w:eastAsia="Arial" w:cs="Arial"/>
          <w:b/>
          <w:color w:val="auto"/>
          <w:kern w:val="0"/>
          <w:sz w:val="24"/>
          <w:szCs w:val="24"/>
          <w:lang w:val="pt-BR" w:eastAsia="zh-CN" w:bidi="hi-IN"/>
        </w:rPr>
        <w:t>TERCEIRA</w:t>
      </w:r>
      <w:r>
        <w:rPr>
          <w:b/>
          <w:color w:val="auto"/>
          <w:sz w:val="24"/>
          <w:szCs w:val="24"/>
        </w:rPr>
        <w:t xml:space="preserve"> – DA FISCALIZAÇÃO</w:t>
      </w:r>
    </w:p>
    <w:p>
      <w:pPr>
        <w:pStyle w:val="Normal"/>
        <w:spacing w:lineRule="auto" w:line="360" w:before="119" w:after="11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3.1. </w:t>
      </w:r>
      <w:r>
        <w:rPr>
          <w:color w:val="auto"/>
          <w:sz w:val="24"/>
          <w:szCs w:val="24"/>
        </w:rPr>
        <w:t>O ESTADO se compromete a efetuar fiscalização ininterrupta, por meio da Controladoria-Geral do Estado (CONTROL), dos procedimentos e processos de contratação, aquisição, indenização e requisição decorrentes da instalação do Hospital de Campanha, podendo o referido órgão de controle expedir orientações, sempre que necessário ao aperfeiçoamento dos métodos utilizados.</w:t>
      </w:r>
    </w:p>
    <w:p>
      <w:pPr>
        <w:pStyle w:val="Normal"/>
        <w:spacing w:lineRule="auto" w:line="360" w:before="119" w:after="1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119" w:after="119"/>
        <w:jc w:val="center"/>
        <w:rPr>
          <w:rFonts w:ascii="Arial" w:hAnsi="Arial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>
        <w:rPr>
          <w:rFonts w:eastAsia="Arial" w:cs="Arial"/>
          <w:b/>
          <w:color w:val="auto"/>
          <w:kern w:val="0"/>
          <w:sz w:val="24"/>
          <w:szCs w:val="24"/>
          <w:lang w:val="pt-BR" w:eastAsia="zh-CN" w:bidi="hi-IN"/>
        </w:rPr>
        <w:t>QUARTA</w:t>
      </w:r>
      <w:r>
        <w:rPr>
          <w:b/>
          <w:color w:val="auto"/>
          <w:sz w:val="24"/>
          <w:szCs w:val="24"/>
        </w:rPr>
        <w:t xml:space="preserve"> – DA VIGÊNCIA</w:t>
      </w:r>
    </w:p>
    <w:p>
      <w:pPr>
        <w:pStyle w:val="Normal"/>
        <w:spacing w:lineRule="auto" w:line="360" w:before="119" w:after="11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119" w:after="119"/>
        <w:jc w:val="both"/>
        <w:rPr/>
      </w:pPr>
      <w:r>
        <w:rPr>
          <w:b/>
          <w:bCs/>
          <w:color w:val="auto"/>
          <w:sz w:val="24"/>
          <w:szCs w:val="24"/>
        </w:rPr>
        <w:t xml:space="preserve">4.1. </w:t>
      </w:r>
      <w:r>
        <w:rPr>
          <w:color w:val="auto"/>
          <w:sz w:val="24"/>
          <w:szCs w:val="24"/>
        </w:rPr>
        <w:t xml:space="preserve">A eficácia deste Termo de Ajustamento de Conduta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limita-se à duração d</w:t>
      </w:r>
      <w:r>
        <w:rPr>
          <w:color w:val="auto"/>
          <w:sz w:val="24"/>
          <w:szCs w:val="24"/>
        </w:rPr>
        <w:t xml:space="preserve">a declaração de Situação de Emergência de Saúde Pública de Importância Nacional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decorrente do coronavírus,</w:t>
      </w:r>
      <w:r>
        <w:rPr>
          <w:color w:val="auto"/>
          <w:sz w:val="24"/>
          <w:szCs w:val="24"/>
        </w:rPr>
        <w:t xml:space="preserve"> devendo as contratações e aquisições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 xml:space="preserve">decorrentes deste ajuste </w:t>
      </w:r>
      <w:r>
        <w:rPr>
          <w:color w:val="auto"/>
          <w:sz w:val="24"/>
          <w:szCs w:val="24"/>
        </w:rPr>
        <w:t>se referirem exclusivamente às medidas de enfrentamento à COVID-19 e que sejam destinadas ao atendimento na rede pública de saúde do E</w:t>
      </w:r>
      <w:r>
        <w:rPr>
          <w:color w:val="auto"/>
          <w:sz w:val="24"/>
          <w:szCs w:val="24"/>
        </w:rPr>
        <w:t>STADO</w:t>
      </w:r>
      <w:r>
        <w:rPr>
          <w:color w:val="auto"/>
          <w:sz w:val="24"/>
          <w:szCs w:val="24"/>
        </w:rPr>
        <w:t>.</w:t>
      </w:r>
    </w:p>
    <w:p>
      <w:pPr>
        <w:pStyle w:val="Normal"/>
        <w:spacing w:lineRule="auto" w:line="360" w:before="119" w:after="1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119" w:after="119"/>
        <w:jc w:val="center"/>
        <w:rPr>
          <w:b/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CLÁUSULA QUINTA – DA EXECUÇÃO</w:t>
      </w:r>
    </w:p>
    <w:p>
      <w:pPr>
        <w:pStyle w:val="Normal"/>
        <w:spacing w:lineRule="auto" w:line="360" w:before="119" w:after="1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119" w:after="119"/>
        <w:jc w:val="both"/>
        <w:rPr>
          <w:b/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5.1. </w:t>
      </w:r>
      <w:r>
        <w:rPr>
          <w:b w:val="false"/>
          <w:bCs w:val="false"/>
          <w:color w:val="auto"/>
          <w:sz w:val="24"/>
          <w:szCs w:val="24"/>
        </w:rPr>
        <w:t>O descumprimento de quaisquer das obrigações contidas neste compromisso ensejará adoção das medidas judiciais e extrajudiciais cabíveis.</w:t>
      </w:r>
    </w:p>
    <w:p>
      <w:pPr>
        <w:pStyle w:val="Normal"/>
        <w:spacing w:lineRule="auto" w:line="360" w:before="119" w:after="1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119" w:after="119"/>
        <w:jc w:val="center"/>
        <w:rPr>
          <w:rFonts w:ascii="Arial" w:hAnsi="Arial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>
        <w:rPr>
          <w:rFonts w:eastAsia="Arial" w:cs="Arial"/>
          <w:b/>
          <w:color w:val="auto"/>
          <w:kern w:val="0"/>
          <w:sz w:val="24"/>
          <w:szCs w:val="24"/>
          <w:lang w:val="pt-BR" w:eastAsia="zh-CN" w:bidi="hi-IN"/>
        </w:rPr>
        <w:t>SEXTA</w:t>
      </w:r>
      <w:r>
        <w:rPr>
          <w:b/>
          <w:color w:val="auto"/>
          <w:sz w:val="24"/>
          <w:szCs w:val="24"/>
        </w:rPr>
        <w:t xml:space="preserve"> – DA EFICÁCIA </w:t>
      </w:r>
    </w:p>
    <w:p>
      <w:pPr>
        <w:pStyle w:val="Normal"/>
        <w:spacing w:lineRule="auto" w:line="360" w:before="119" w:after="11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119" w:after="119"/>
        <w:jc w:val="both"/>
        <w:rPr/>
      </w:pPr>
      <w:r>
        <w:rPr>
          <w:b/>
          <w:color w:val="auto"/>
          <w:sz w:val="24"/>
          <w:szCs w:val="24"/>
        </w:rPr>
        <w:t xml:space="preserve">6.1. </w:t>
      </w:r>
      <w:r>
        <w:rPr>
          <w:color w:val="auto"/>
          <w:sz w:val="24"/>
          <w:szCs w:val="24"/>
        </w:rPr>
        <w:t>O presente termo de compromisso terá eficácia de título executivo extrajudicial, na forma do art. 5°, § 6°, da Lei n.° 7.347/85 e do art. 784, inciso IV, do Código de Processo Civil, podendo ser requerida a sua homologação perante o Tribunal de Justiça do Estado do Rio Grande do Norte e perante a Justiça Federal de Primeiro Grau, Seção Judiciária do Rio Grande do Norte.</w:t>
      </w:r>
    </w:p>
    <w:p>
      <w:pPr>
        <w:pStyle w:val="Normal"/>
        <w:spacing w:lineRule="auto" w:line="360" w:before="119" w:after="119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spacing w:lineRule="auto" w:line="360" w:before="119" w:after="119"/>
        <w:jc w:val="center"/>
        <w:rPr>
          <w:b/>
          <w:b/>
          <w:bCs/>
        </w:rPr>
      </w:pPr>
      <w:r>
        <w:rPr>
          <w:rFonts w:eastAsia="Arial" w:cs="Arial"/>
          <w:b/>
          <w:bCs/>
          <w:color w:val="auto"/>
          <w:sz w:val="24"/>
          <w:szCs w:val="24"/>
        </w:rPr>
        <w:t>CLÁUSULA SÉTIMA – DO FORO</w:t>
      </w:r>
    </w:p>
    <w:p>
      <w:pPr>
        <w:pStyle w:val="Normal"/>
        <w:spacing w:lineRule="auto" w:line="360" w:before="119" w:after="11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b/>
          <w:bCs/>
          <w:color w:val="auto"/>
          <w:sz w:val="24"/>
          <w:szCs w:val="24"/>
        </w:rPr>
        <w:t xml:space="preserve">7.1. </w:t>
      </w:r>
      <w:r>
        <w:rPr>
          <w:rFonts w:eastAsia="Arial" w:cs="Arial"/>
          <w:color w:val="auto"/>
          <w:sz w:val="24"/>
          <w:szCs w:val="24"/>
        </w:rPr>
        <w:t>Fica eleito o foro da comarca de Natal, no Estado do Rio Grande do Norte, com exclusão de qualquer outro, para dirimir eventuais controvérsias decorrentes do presente termo.</w:t>
      </w:r>
    </w:p>
    <w:p>
      <w:pPr>
        <w:pStyle w:val="Normal"/>
        <w:spacing w:lineRule="auto" w:line="360" w:before="119" w:after="119"/>
        <w:jc w:val="both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spacing w:lineRule="auto" w:line="360" w:before="119" w:after="119"/>
        <w:jc w:val="center"/>
        <w:rPr/>
      </w:pPr>
      <w:r>
        <w:rPr>
          <w:rFonts w:eastAsia="Arial" w:cs="Arial"/>
          <w:b/>
          <w:bCs/>
          <w:color w:val="auto"/>
          <w:sz w:val="24"/>
          <w:szCs w:val="24"/>
        </w:rPr>
        <w:t>CLÁUSULA OITAVA – DA RESPONSABILIDADE CIVIL E CRIMINAL DOS GESTORES E AGENTES CONTRATADOS</w:t>
        <w:br/>
      </w:r>
    </w:p>
    <w:p>
      <w:pPr>
        <w:pStyle w:val="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color w:val="auto"/>
          <w:sz w:val="24"/>
          <w:szCs w:val="24"/>
        </w:rPr>
        <w:t xml:space="preserve">8.1. </w:t>
      </w:r>
      <w:r>
        <w:rPr>
          <w:rFonts w:eastAsia="Arial" w:cs="Arial"/>
          <w:sz w:val="24"/>
          <w:szCs w:val="24"/>
        </w:rPr>
        <w:t>O presente termo de compromisso não inibe a responsabilidade civil e criminal dos gestores, beneficiários e terceiros que eventualmente atentem contra a probidade administrativa, especialmente, mediante, entre outros atos:</w:t>
        <w:br/>
        <w:t>I – de desvio de recursos públicos diretamente ou através de sobrepreço ou superfaturamento;</w:t>
        <w:br/>
        <w:t>II – a não prestação total ou parcial do serviço ou produto contratado;</w:t>
        <w:br/>
        <w:t>III – direcionamento do chamamento objeto da presente avença;</w:t>
        <w:br/>
        <w:t>IV – destinação dos recursos em finalidade diversa do objeto contratado.</w:t>
        <w:br/>
        <w:t>Parágrafo único: o M</w:t>
      </w:r>
      <w:r>
        <w:rPr>
          <w:rFonts w:eastAsia="Arial" w:cs="Arial"/>
          <w:sz w:val="24"/>
          <w:szCs w:val="24"/>
        </w:rPr>
        <w:t>INISTÉRIO PÚBLICO</w:t>
      </w:r>
      <w:r>
        <w:rPr>
          <w:rFonts w:eastAsia="Arial" w:cs="Arial"/>
          <w:sz w:val="24"/>
          <w:szCs w:val="24"/>
        </w:rPr>
        <w:t xml:space="preserve"> manterá procedimento de acompanhamento para fiscalizar a execução do contrato, do chamamento e do presente termo de compromisso, a fim de garantir sua lisura e plena execução, devendo os gestores e beneficiários colaborarem com a sua instrução.</w:t>
      </w:r>
    </w:p>
    <w:p>
      <w:pPr>
        <w:pStyle w:val="Normal"/>
        <w:spacing w:lineRule="auto" w:line="360" w:before="119" w:after="119"/>
        <w:jc w:val="both"/>
        <w:rPr/>
      </w:pPr>
      <w:r>
        <w:rPr>
          <w:rFonts w:eastAsia="Arial" w:cs="Arial"/>
          <w:b/>
          <w:bCs/>
          <w:sz w:val="24"/>
          <w:szCs w:val="24"/>
        </w:rPr>
        <w:t>8.2.</w:t>
      </w:r>
      <w:r>
        <w:rPr>
          <w:rFonts w:eastAsia="Arial" w:cs="Arial"/>
          <w:sz w:val="24"/>
          <w:szCs w:val="24"/>
        </w:rPr>
        <w:t xml:space="preserve"> Os gestores e as entidades contratadas darão ampla publicidade à execução do contrato, devendo remeter toda e qualquer documentação que o M</w:t>
      </w:r>
      <w:r>
        <w:rPr>
          <w:rFonts w:eastAsia="Arial" w:cs="Arial"/>
          <w:sz w:val="24"/>
          <w:szCs w:val="24"/>
        </w:rPr>
        <w:t>INISTÉRIO PÚBLICO</w:t>
      </w:r>
      <w:r>
        <w:rPr>
          <w:rFonts w:eastAsia="Arial" w:cs="Arial"/>
          <w:sz w:val="24"/>
          <w:szCs w:val="24"/>
        </w:rPr>
        <w:t xml:space="preserve"> e demais órgãos de controle requisitarem, atendendo, </w:t>
      </w:r>
      <w:r>
        <w:rPr>
          <w:rFonts w:eastAsia="Arial" w:cs="Arial"/>
          <w:sz w:val="24"/>
          <w:szCs w:val="24"/>
        </w:rPr>
        <w:t>ademais,</w:t>
      </w:r>
      <w:r>
        <w:rPr>
          <w:rFonts w:eastAsia="Arial" w:cs="Arial"/>
          <w:sz w:val="24"/>
          <w:szCs w:val="24"/>
        </w:rPr>
        <w:t xml:space="preserve"> à cláusula 2.7 do presente ajuste.</w:t>
      </w:r>
    </w:p>
    <w:p>
      <w:pPr>
        <w:pStyle w:val="Normal"/>
        <w:spacing w:lineRule="auto" w:line="360" w:before="119" w:after="119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color w:val="auto"/>
          <w:sz w:val="24"/>
          <w:szCs w:val="24"/>
        </w:rPr>
        <w:tab/>
        <w:tab/>
        <w:t>E por estarem as partes compromissadas, firmam o presente Termo de Ajustamento de Conduta, a fim de que produza todos os efeitos legais.</w:t>
      </w:r>
    </w:p>
    <w:p>
      <w:pPr>
        <w:pStyle w:val="Normal"/>
        <w:spacing w:lineRule="auto" w:line="360" w:before="119" w:after="119"/>
        <w:jc w:val="both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spacing w:lineRule="auto" w:line="360" w:before="119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/>
          <w:color w:val="auto"/>
          <w:sz w:val="24"/>
          <w:szCs w:val="24"/>
        </w:rPr>
        <w:tab/>
        <w:tab/>
        <w:t xml:space="preserve">Natal/RN, </w:t>
      </w:r>
      <w:r>
        <w:rPr>
          <w:rFonts w:eastAsia="Arial" w:cs="Arial"/>
          <w:color w:val="auto"/>
          <w:kern w:val="0"/>
          <w:sz w:val="24"/>
          <w:szCs w:val="24"/>
          <w:lang w:val="pt-BR" w:eastAsia="zh-CN" w:bidi="hi-IN"/>
        </w:rPr>
        <w:t>03 de abril</w:t>
      </w:r>
      <w:r>
        <w:rPr>
          <w:rFonts w:eastAsia="Arial" w:cs="Arial"/>
          <w:color w:val="auto"/>
          <w:sz w:val="24"/>
          <w:szCs w:val="24"/>
        </w:rPr>
        <w:t xml:space="preserve"> de 2020.</w:t>
      </w:r>
    </w:p>
    <w:p>
      <w:pPr>
        <w:pStyle w:val="Normal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LOnormal"/>
        <w:jc w:val="both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</w:r>
    </w:p>
    <w:p>
      <w:pPr>
        <w:pStyle w:val="LOnormal"/>
        <w:jc w:val="center"/>
        <w:rPr/>
      </w:pPr>
      <w:r>
        <w:rPr>
          <w:b w:val="false"/>
          <w:bCs w:val="false"/>
          <w:color w:val="auto"/>
          <w:sz w:val="24"/>
          <w:szCs w:val="24"/>
        </w:rPr>
        <w:t>Maria de Fátima Bezerra</w:t>
      </w:r>
    </w:p>
    <w:p>
      <w:pPr>
        <w:pStyle w:val="LOnormal"/>
        <w:jc w:val="center"/>
        <w:rPr>
          <w:b/>
          <w:b/>
          <w:bCs/>
        </w:rPr>
      </w:pPr>
      <w:r>
        <w:rPr>
          <w:b/>
          <w:bCs/>
          <w:color w:val="auto"/>
          <w:sz w:val="24"/>
          <w:szCs w:val="24"/>
        </w:rPr>
        <w:t>Governadora do Estado do Ri</w:t>
      </w:r>
      <w:r>
        <w:rPr>
          <w:b/>
          <w:bCs/>
          <w:color w:val="000000"/>
          <w:sz w:val="24"/>
          <w:szCs w:val="24"/>
        </w:rPr>
        <w:t>o Grande do Norte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Cipriano Maia de Vasconcelos</w:t>
      </w:r>
    </w:p>
    <w:p>
      <w:pPr>
        <w:pStyle w:val="LOnormal"/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Secretário Estadual de Saúde Pública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rFonts w:ascii="Arial" w:hAnsi="Arial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Luiz Antônio Marinho</w:t>
      </w:r>
    </w:p>
    <w:p>
      <w:pPr>
        <w:pStyle w:val="LOnormal"/>
        <w:jc w:val="center"/>
        <w:rPr/>
      </w:pPr>
      <w:r>
        <w:rPr>
          <w:rFonts w:eastAsia="Arial" w:cs="Arial"/>
          <w:b/>
          <w:bCs/>
          <w:color w:val="auto"/>
          <w:sz w:val="24"/>
          <w:szCs w:val="24"/>
        </w:rPr>
        <w:t>Procurador-Geral do Estado do Rio Grande do Norte</w:t>
      </w:r>
    </w:p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/>
        </w:rPr>
      </w:r>
    </w:p>
    <w:p>
      <w:pPr>
        <w:pStyle w:val="LOnormal"/>
        <w:jc w:val="center"/>
        <w:rPr>
          <w:sz w:val="24"/>
          <w:szCs w:val="24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</w:rPr>
        <w:t>Eudo Rodrigues Leite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rFonts w:eastAsia="Arial" w:cs="Arial"/>
          <w:b/>
          <w:bCs/>
          <w:color w:val="auto"/>
          <w:sz w:val="24"/>
          <w:szCs w:val="24"/>
        </w:rPr>
        <w:t>Procurador-Geral de Justiça do Estado do Rio Grande do Norte</w:t>
      </w:r>
    </w:p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/>
        </w:rPr>
      </w:r>
    </w:p>
    <w:p>
      <w:pPr>
        <w:pStyle w:val="LOnormal"/>
        <w:jc w:val="center"/>
        <w:rPr/>
      </w:pPr>
      <w:r>
        <w:rPr>
          <w:rFonts w:eastAsia="Arial" w:cs="Arial"/>
          <w:b w:val="false"/>
          <w:bCs w:val="false"/>
          <w:color w:val="auto"/>
          <w:sz w:val="24"/>
          <w:szCs w:val="24"/>
        </w:rPr>
        <w:t>Iara Maria Pinheiro de Albuquerque</w:t>
      </w:r>
    </w:p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/>
          <w:b/>
          <w:bCs/>
          <w:color w:val="auto"/>
          <w:sz w:val="24"/>
          <w:szCs w:val="24"/>
        </w:rPr>
        <w:t>Promotora de Justiça de Defesa da Saúde                                                    da Comarca de Natal</w:t>
      </w:r>
    </w:p>
    <w:p>
      <w:pPr>
        <w:pStyle w:val="LOnormal"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LOnormal"/>
        <w:jc w:val="center"/>
        <w:rPr/>
      </w:pPr>
      <w:r>
        <w:rPr>
          <w:rFonts w:eastAsia="Arial" w:cs="Arial"/>
          <w:b w:val="false"/>
          <w:bCs w:val="false"/>
          <w:color w:val="auto"/>
          <w:sz w:val="24"/>
          <w:szCs w:val="24"/>
        </w:rPr>
        <w:t xml:space="preserve">Thibério César do Nascimento Fernandes </w:t>
      </w:r>
    </w:p>
    <w:p>
      <w:pPr>
        <w:pStyle w:val="LOnormal"/>
        <w:jc w:val="center"/>
        <w:rPr/>
      </w:pPr>
      <w:r>
        <w:rPr>
          <w:rFonts w:eastAsia="Arial" w:cs="Arial"/>
          <w:b/>
          <w:bCs/>
          <w:color w:val="auto"/>
          <w:sz w:val="24"/>
          <w:szCs w:val="24"/>
        </w:rPr>
        <w:t>Promotor de Justiça de Defesa do Patrimônio Público                                 da Comarca de Natal</w:t>
      </w:r>
    </w:p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/>
        </w:rPr>
      </w:r>
    </w:p>
    <w:p>
      <w:pPr>
        <w:pStyle w:val="LOnormal"/>
        <w:jc w:val="center"/>
        <w:rPr>
          <w:sz w:val="24"/>
          <w:szCs w:val="24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</w:rPr>
        <w:t>Caroline Maciel da Costa Lima da Mata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rFonts w:eastAsia="Arial" w:cs="Arial"/>
          <w:b/>
          <w:bCs/>
          <w:color w:val="auto"/>
          <w:sz w:val="24"/>
          <w:szCs w:val="24"/>
        </w:rPr>
        <w:t>Procuradora Regional dos Direitos do Cidadão da Procuradoria da República no Estado do Rio Grande do Norte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>
          <w:rFonts w:eastAsia="Arial" w:cs="Arial"/>
          <w:b w:val="false"/>
          <w:bCs w:val="false"/>
          <w:color w:val="auto"/>
          <w:sz w:val="24"/>
          <w:szCs w:val="24"/>
        </w:rPr>
        <w:t>Fernando Rocha de Andrade</w:t>
      </w:r>
    </w:p>
    <w:p>
      <w:pPr>
        <w:pStyle w:val="LOnormal"/>
        <w:jc w:val="center"/>
        <w:rPr/>
      </w:pPr>
      <w:r>
        <w:rPr>
          <w:rFonts w:eastAsia="Arial" w:cs="Arial"/>
          <w:b/>
          <w:bCs/>
          <w:color w:val="auto"/>
          <w:sz w:val="24"/>
          <w:szCs w:val="24"/>
        </w:rPr>
        <w:t>Procurador da República no Estado do Rio Grande do Norte</w:t>
      </w:r>
    </w:p>
    <w:p>
      <w:pPr>
        <w:pStyle w:val="LO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3190" w:footer="1417" w:bottom="193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2114550" cy="692785"/>
          <wp:effectExtent l="0" t="0" r="0" b="0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8" t="-1501" r="-488" b="-1501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2647950</wp:posOffset>
          </wp:positionH>
          <wp:positionV relativeFrom="paragraph">
            <wp:posOffset>100330</wp:posOffset>
          </wp:positionV>
          <wp:extent cx="2628900" cy="551180"/>
          <wp:effectExtent l="0" t="0" r="0" b="0"/>
          <wp:wrapSquare wrapText="largest"/>
          <wp:docPr id="2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e" w:customStyle="1">
    <w:name w:val="spelle"/>
    <w:basedOn w:val="DefaultParagraphFont"/>
    <w:qFormat/>
    <w:rsid w:val="00ab24f2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CabealhoeRodap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oaAwL718vjUPpl3UWpyFU/52tg==">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512</TotalTime>
  <Application>LibreOffice/6.2.8.2$Windows_X86_64 LibreOffice_project/f82ddfca21ebc1e222a662a32b25c0c9d20169ee</Application>
  <Pages>12</Pages>
  <Words>2724</Words>
  <Characters>15347</Characters>
  <CharactersWithSpaces>18165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2020-03-21T11:09:00Z</dcterms:created>
  <dc:creator/>
  <dc:description/>
  <dc:language>pt-BR</dc:language>
  <cp:lastModifiedBy/>
  <dcterms:modified xsi:type="dcterms:W3CDTF">2020-04-04T10:11:08Z</dcterms:modified>
  <cp:revision>27</cp:revision>
  <dc:subject/>
  <dc:title/>
</cp:coreProperties>
</file>